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2.png" ContentType="image/png"/>
  <Override PartName="/word/media/rId70.png" ContentType="image/png"/>
  <Override PartName="/word/media/rId66.pdf" ContentType="application/pdf"/>
  <Override PartName="/word/media/rId48.png" ContentType="image/png"/>
  <Override PartName="/word/media/rId74.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settlement to host plants.</w:t>
      </w:r>
      <w:r>
        <w:t xml:space="preserve"> </w:t>
      </w:r>
      <w:r>
        <w:t xml:space="preserve">Yet, little is known about key genes allowing plants to escape from herbivores.</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the peak, a mutant of the putative ribosomal gene (AT3G13882) exhibited slower growth and later flowering phenotype than a wild type under laboratory condition.</w:t>
      </w:r>
      <w:r>
        <w:t xml:space="preserve"> </w:t>
      </w:r>
      <w:r>
        <w:t xml:space="preserve">Likely due to 61% smaller size of this ribosomal gene mutant than the wild type, the turnip aphid</w:t>
      </w:r>
      <w:r>
        <w:t xml:space="preserve"> </w:t>
      </w:r>
      <w:r>
        <w:rPr>
          <w:iCs/>
          <w:i/>
        </w:rPr>
        <w:t xml:space="preserve">Lipaphis erysimi</w:t>
      </w:r>
      <w:r>
        <w:t xml:space="preserve"> </w:t>
      </w:r>
      <w:r>
        <w:t xml:space="preserve">failed to settle a colony on the ribosomal gene mutant.</w:t>
      </w:r>
      <w:r>
        <w:t xml:space="preserve"> </w:t>
      </w:r>
      <w:r>
        <w:t xml:space="preserve">These findings suggest that roles of growth-related genes in modulating herbivore abundance may be more important than currently recognized.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r>
        <w:t xml:space="preserve"> </w:t>
      </w:r>
      <w:r>
        <w:t xml:space="preserve">Yet, little is known about key genes underlying the effects of the plant life-history traits on herbivory.</w:t>
      </w:r>
    </w:p>
    <w:p>
      <w:pPr>
        <w:pStyle w:val="BodyText"/>
      </w:pPr>
      <w:r>
        <w:t xml:space="preserve">Genome-wide association study (GWAS) provides a hypothesis-free approach to dissecting the genetic architecture of ecologically important traits</w:t>
      </w:r>
      <w:r>
        <w:t xml:space="preserve"> </w:t>
      </w:r>
      <w:r>
        <w:t xml:space="preserve">[11,12]</w:t>
      </w:r>
      <w:r>
        <w:t xml:space="preserve"> </w:t>
      </w:r>
      <w:r>
        <w:t xml:space="preserve">and identifying novel genes from natural phenotypic variation</w:t>
      </w:r>
      <w:r>
        <w:t xml:space="preserve"> </w:t>
      </w:r>
      <w:r>
        <w:t xml:space="preserve">[13,14]</w:t>
      </w:r>
      <w:r>
        <w:t xml:space="preserve">.</w:t>
      </w:r>
      <w:r>
        <w:t xml:space="preserve"> </w:t>
      </w:r>
      <w:r>
        <w:t xml:space="preserve">However, controlled laboratory conditions are unlikely to reflect outdoor environments where interspecific interactions typically occur</w:t>
      </w:r>
      <w:r>
        <w:t xml:space="preserve"> </w:t>
      </w:r>
      <w:r>
        <w:t xml:space="preserve">[15,16]</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[17–20,</w:t>
      </w:r>
      <w:r>
        <w:rPr>
          <w:bCs/>
          <w:b/>
        </w:rPr>
        <w:t xml:space="preserve">zaidem2019evolutionar?</w:t>
      </w:r>
      <w:r>
        <w:t xml:space="preserve">]</w:t>
      </w:r>
      <w:r>
        <w:t xml:space="preserve">.</w:t>
      </w:r>
      <w:r>
        <w:t xml:space="preserve"> </w:t>
      </w:r>
      <w:r>
        <w:t xml:space="preserve">To achieve this goal,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[20–22]</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[10,23]</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[24]</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Excluding two trichome mutants and an ungenotyped accession, we used almost the same set of 196</w:t>
      </w:r>
      <w:r>
        <w:t xml:space="preserve"> </w:t>
      </w:r>
      <w:r>
        <w:rPr>
          <w:iCs/>
          <w:i/>
        </w:rPr>
        <w:t xml:space="preserve">A. thaliana</w:t>
      </w:r>
      <w:r>
        <w:t xml:space="preserve"> </w:t>
      </w:r>
      <w:r>
        <w:t xml:space="preserve">accessions as a previous study</w:t>
      </w:r>
      <w:r>
        <w:t xml:space="preserve"> </w:t>
      </w:r>
      <w:r>
        <w:t xml:space="preserve">[25]</w:t>
      </w:r>
      <w:r>
        <w:t xml:space="preserve">.</w:t>
      </w:r>
      <w:r>
        <w:t xml:space="preserve"> </w:t>
      </w:r>
      <w:r>
        <w:t xml:space="preserve">All of these accessions were genotyped by RegMap</w:t>
      </w:r>
      <w:r>
        <w:t xml:space="preserve"> </w:t>
      </w:r>
      <w:r>
        <w:t xml:space="preserve">[26]</w:t>
      </w:r>
      <w:r>
        <w:t xml:space="preserve"> </w:t>
      </w:r>
      <w:r>
        <w:t xml:space="preserve">and 1001 Genomes</w:t>
      </w:r>
      <w:r>
        <w:t xml:space="preserve"> </w:t>
      </w:r>
      <w:r>
        <w:t xml:space="preserve">[27]</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vegetative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analysis was performed using the GWA-portal (</w:t>
      </w:r>
      <w:hyperlink r:id="rId27">
        <w:r>
          <w:rPr>
            <w:rStyle w:val="Hyperlink"/>
          </w:rPr>
          <w:t xml:space="preserve">https://gwas.gmi.oeaw.ac.at</w:t>
        </w:r>
      </w:hyperlink>
      <w:r>
        <w:t xml:space="preserve">)</w:t>
      </w:r>
      <w:r>
        <w:t xml:space="preserve"> </w:t>
      </w:r>
      <w:r>
        <w:t xml:space="preserve">[28]</w:t>
      </w:r>
      <w:r>
        <w:t xml:space="preserve">.</w:t>
      </w:r>
      <w:r>
        <w:t xml:space="preserve"> </w:t>
      </w:r>
      <w:r>
        <w:t xml:space="preserve">The target phenotype was the maximum number of any species of individual aphids per plant throughout the experiment.</w:t>
      </w:r>
      <w:r>
        <w:t xml:space="preserve"> </w:t>
      </w:r>
      <w:r>
        <w:t xml:space="preserve">The imputed full-sequence dataset registered in the GWA-portal was used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Input phenotype data are available as supplementary material.</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[29]</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putative ribosomal gene (AT3G13882) (Table S2).</w:t>
      </w:r>
      <w:r>
        <w:t xml:space="preserve"> </w:t>
      </w:r>
      <w:r>
        <w:t xml:space="preserve">These original mutants were back-crossed to the Col-0 wild type for three times.</w:t>
      </w:r>
      <w:r>
        <w:t xml:space="preserve"> </w:t>
      </w:r>
      <w:r>
        <w:t xml:space="preserve">Following the instruction</w:t>
      </w:r>
      <w:r>
        <w:t xml:space="preserve"> </w:t>
      </w:r>
      <w:r>
        <w:t xml:space="preserve">[30]</w:t>
      </w:r>
      <w:r>
        <w:t xml:space="preserve">, we confirmed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finally obtained one confirmed line of the SALK_039481 (NASC Accession ID: N670586) for AT3G13882, because some lines failed to germinate or to confirm an insertion site.</w:t>
      </w:r>
      <w:r>
        <w:t xml:space="preserve"> </w:t>
      </w:r>
      <w:r>
        <w:t xml:space="preserve">This confirmed line had an insertion on an exon of one of two splice variants (Fig.</w:t>
      </w:r>
      <w:r>
        <w:t xml:space="preserve"> </w:t>
      </w:r>
      <w:hyperlink w:anchor="fig:tDNA">
        <w:r>
          <w:rPr>
            <w:rStyle w:val="Hyperlink"/>
          </w:rPr>
          <w:t xml:space="preserve">S1</w:t>
        </w:r>
      </w:hyperlink>
      <w:r>
        <w:t xml:space="preserve">) and exhibited lower expression level than the Col-0 wild type (Fig.</w:t>
      </w:r>
      <w:r>
        <w:t xml:space="preserve"> </w:t>
      </w:r>
      <w:hyperlink w:anchor="fig:sqRT_PCR">
        <w:r>
          <w:rPr>
            <w:rStyle w:val="Hyperlink"/>
          </w:rPr>
          <w:t xml:space="preserve">S2</w:t>
        </w:r>
      </w:hyperlink>
      <w:r>
        <w:t xml:space="preserve">).</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the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 tests were used to calculate</w:t>
      </w:r>
      <w:r>
        <w:t xml:space="preserve"> </w:t>
      </w:r>
      <m:oMath>
        <m:r>
          <m:t>p</m:t>
        </m:r>
      </m:oMath>
      <w:r>
        <w:t xml:space="preserve">-values from GLMs.</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at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Starting from the vegetative phase, 38% of individual plants initiated bolting two weeks after the transplant.</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The aphid abundance was higher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suggesting that plant life cycle might be associated with plants’ capacity to harbor aphids.</w:t>
      </w:r>
      <w:r>
        <w:t xml:space="preserve"> </w:t>
      </w:r>
      <w:r>
        <w:t xml:space="preserve">In addition, we also distinguished the abundance of winged and wingless aphids in order to infer the colonization process of aphids on</w:t>
      </w:r>
      <w:r>
        <w:t xml:space="preserve"> </w:t>
      </w:r>
      <w:r>
        <w:rPr>
          <w:iCs/>
          <w:i/>
        </w:rPr>
        <w:t xml:space="preserve">A. thaliana</w:t>
      </w:r>
      <w:r>
        <w:t xml:space="preserve">.</w:t>
      </w:r>
      <w:r>
        <w:t xml:space="preserve"> </w:t>
      </w:r>
      <w:r>
        <w:t xml:space="preserve">Winged and wingless aphids colonized vegetative plants until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S5</w:t>
        </w:r>
      </w:hyperlink>
      <w:r>
        <w:t xml:space="preserve">).</w:t>
      </w:r>
      <w:r>
        <w:t xml:space="preserve"> </w:t>
      </w:r>
      <w:r>
        <w:t xml:space="preserve">This additional observation suggests that colonized aphids do not always establish a colony and thereby the success of the colony establishment also depends on the host suitability after colonization.</w:t>
      </w:r>
    </w:p>
    <w:p>
      <w:pPr>
        <w:pStyle w:val="BodyText"/>
      </w:pPr>
      <w:r>
        <w:t xml:space="preserve">To reveal genetic architecture underlying the aphid abundance, we calculated heritability and then performed association mapping.</w:t>
      </w:r>
      <w:r>
        <w:t xml:space="preserve"> </w:t>
      </w:r>
      <w:r>
        <w:t xml:space="preserve">The aphid abundance had high heritability among the plant accessions (</w:t>
      </w:r>
      <m:oMath>
        <m:sSup>
          <m:e>
            <m:r>
              <m:t>h</m:t>
            </m:r>
          </m:e>
          <m:sup>
            <m:r>
              <m:t>2</m:t>
            </m:r>
          </m:sup>
        </m:sSup>
        <m:r>
          <m:rPr>
            <m:sty m:val="p"/>
          </m:rPr>
          <m:t>=</m:t>
        </m:r>
        <m:r>
          <m:t>0.7</m:t>
        </m:r>
      </m:oMath>
      <w:r>
        <w:t xml:space="preserve">), indicating that this trait was likely under genetic control.</w:t>
      </w:r>
      <w:r>
        <w:t xml:space="preserve"> </w:t>
      </w:r>
      <w:r>
        <w:t xml:space="preserve">Regarding the aphid abundance, our mapping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putative ribosomal gene (AT3G13882) is known to be highly expressed in vegetative organ such as leaves</w:t>
      </w:r>
      <w:r>
        <w:t xml:space="preserve"> </w:t>
      </w:r>
      <w:r>
        <w:t xml:space="preserve">[29]</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known to be highly expressed only in reproductive organ such as anthers or pistils</w:t>
      </w:r>
      <w:r>
        <w:t xml:space="preserve"> </w:t>
      </w:r>
      <w:r>
        <w:t xml:space="preserve">[29]</w:t>
      </w:r>
      <w:r>
        <w:t xml:space="preserve">.</w:t>
      </w:r>
      <w:r>
        <w:t xml:space="preserve"> </w:t>
      </w:r>
      <w:r>
        <w:t xml:space="preserve">Because aphids were unlikely to suck saps from anthers and pistils, we focused on the putative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r>
          <m:t>t</m:t>
        </m:r>
        <m:r>
          <m:rPr>
            <m:sty m:val="p"/>
          </m:rPr>
          <m:t>=</m:t>
        </m:r>
        <m:r>
          <m:t>6.33</m:t>
        </m:r>
        <m:r>
          <m:rPr>
            <m:sty m:val="p"/>
          </m:rPr>
          <m:t>,</m:t>
        </m:r>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 showing the delayed growth of AT3G13882 mutant.</w:t>
      </w:r>
      <w:r>
        <w:t xml:space="preserve"> </w:t>
      </w:r>
      <w:r>
        <w:t xml:space="preserve">The flowering time of the AT3G13882 mutant was also significantly later than the wild type (</w:t>
      </w:r>
      <m:oMath>
        <m:r>
          <m:t>t</m:t>
        </m:r>
        <m:r>
          <m:rPr>
            <m:sty m:val="p"/>
          </m:rPr>
          <m:t>=</m:t>
        </m:r>
        <m:r>
          <m:rPr>
            <m:sty m:val="p"/>
          </m:rPr>
          <m:t>−</m:t>
        </m:r>
        <m:r>
          <m:t>6.48</m:t>
        </m:r>
        <m:r>
          <m:rPr>
            <m:sty m:val="p"/>
          </m:rPr>
          <m:t>,</m:t>
        </m:r>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the colony establishment after aphid colonization, we released wingless individuals of</w:t>
      </w:r>
      <w:r>
        <w:t xml:space="preserve"> </w:t>
      </w:r>
      <w:r>
        <w:rPr>
          <w:iCs/>
          <w:i/>
        </w:rPr>
        <w:t xml:space="preserve">Lipaphis erysimi</w:t>
      </w:r>
      <w:r>
        <w:t xml:space="preserve"> </w:t>
      </w:r>
      <w:r>
        <w:t xml:space="preserve">on vegetative plants of the ribosomal gene mutant (AT3G13882) and the wild type.</w:t>
      </w:r>
      <w:r>
        <w:t xml:space="preserve"> </w:t>
      </w:r>
      <w:r>
        <w:t xml:space="preserve">One week after the release, aphids were more likely to failed colonizing the AT3G13882 mutant than on the wild type (</w:t>
      </w:r>
      <m:oMath>
        <m:r>
          <m:t>Z</m:t>
        </m:r>
        <m:r>
          <m:rPr>
            <m:sty m:val="p"/>
          </m:rPr>
          <m:t>=</m:t>
        </m:r>
        <m:r>
          <m:t>4.41</m:t>
        </m:r>
        <m:r>
          <m:rPr>
            <m:sty m:val="p"/>
          </m:rPr>
          <m:t>,</m:t>
        </m:r>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showing adversarial effects of delayed growth on the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[33,34]</w:t>
      </w:r>
      <w:r>
        <w:t xml:space="preserve"> </w:t>
      </w:r>
      <w:r>
        <w:t xml:space="preserve">and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our field GWAS offered a hypothesis-free approach to screen candidate genes responsible for herbivore abundance, which did not detect the known defense-related genes near its peak.</w:t>
      </w:r>
      <w:r>
        <w:t xml:space="preserve"> </w:t>
      </w:r>
      <w:r>
        <w:t xml:space="preserve">This result agree with the notion that gene functions revealed under laboratory condition may not always reflect those under field environments</w:t>
      </w:r>
      <w:r>
        <w:t xml:space="preserve"> </w:t>
      </w:r>
      <w:r>
        <w:t xml:space="preserve">[17,18]</w:t>
      </w:r>
      <w:r>
        <w:t xml:space="preserve">.</w:t>
      </w:r>
      <w:r>
        <w:t xml:space="preserve"> </w:t>
      </w:r>
      <w:r>
        <w:t xml:space="preserve">A previous meta-analysis also reported that plant phenological and architectural traits more likely explained herbivory variation than chemical or physical traits</w:t>
      </w:r>
      <w:r>
        <w:t xml:space="preserve"> </w:t>
      </w:r>
      <w:r>
        <w:t xml:space="preserve">[2]</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[35]</w:t>
      </w:r>
      <w:r>
        <w:t xml:space="preserve">, reduced root length</w:t>
      </w:r>
      <w:r>
        <w:t xml:space="preserve"> </w:t>
      </w:r>
      <w:r>
        <w:t xml:space="preserve">[36]</w:t>
      </w:r>
      <w:r>
        <w:t xml:space="preserve">, and the reduction of pollen number</w:t>
      </w:r>
      <w:r>
        <w:t xml:space="preserve"> </w:t>
      </w:r>
      <w:r>
        <w:t xml:space="preserve">[14,37]</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However, we are still unsure whether the T-DNA mutation on the putative ribosomal gene (AT3G13882) represents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reported pleiotropy of this gene on plant growth and pollen number in</w:t>
      </w:r>
      <w:r>
        <w:t xml:space="preserve"> </w:t>
      </w:r>
      <w:r>
        <w:rPr>
          <w:iCs/>
          <w:i/>
        </w:rPr>
        <w:t xml:space="preserve">A. thaliana</w:t>
      </w:r>
      <w:r>
        <w:t xml:space="preserve"> </w:t>
      </w:r>
      <w:r>
        <w:t xml:space="preserve">[14,37]</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[14]</w:t>
      </w:r>
      <w:r>
        <w:t xml:space="preserve">.</w:t>
      </w:r>
      <w:r>
        <w:t xml:space="preserve"> </w:t>
      </w:r>
      <w:r>
        <w:t xml:space="preserve">In our study, the other growth-related genes or other mutations of AT3G13882 might have reduced the aphid abundance.</w:t>
      </w:r>
      <w:r>
        <w:t xml:space="preserve"> </w:t>
      </w:r>
      <w:r>
        <w:t xml:space="preserve">Further experimental tests, such as quantitative complementation</w:t>
      </w:r>
      <w:r>
        <w:t xml:space="preserve"> </w:t>
      </w:r>
      <w:r>
        <w:t xml:space="preserve">[14]</w:t>
      </w:r>
      <w:r>
        <w:t xml:space="preserve">, will be needed to identify natural causal variants that alter the aphid abundance through delayed growth.</w:t>
      </w:r>
    </w:p>
    <w:p>
      <w:pPr>
        <w:pStyle w:val="BodyText"/>
      </w:pPr>
      <w:r>
        <w:t xml:space="preserve">Overall, our field GWAS and laboratory experiment suggest the importance of plant life-history traits in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[31]</w:t>
      </w:r>
      <w:r>
        <w:t xml:space="preserve">.</w:t>
      </w:r>
      <w:r>
        <w:t xml:space="preserve"> </w:t>
      </w:r>
      <w:r>
        <w:t xml:space="preserve">Barbour et al.</w:t>
      </w:r>
      <w:r>
        <w:t xml:space="preserve"> </w:t>
      </w:r>
      <w:r>
        <w:t xml:space="preserve">[31]</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have pleiotropy on plant growth and secondary metabolism, but our findings support the notion that genes associated with plant growth can structure populations or communities of associated organisms.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M. Brasser and R. Hostettler for their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7106"/>
            <wp:effectExtent b="0" l="0" r="0" t="0"/>
            <wp:docPr descr="Figure 1. Genome-wide association study of the aphid abundance on 196 Arabidopsis thaliana accessions grown in the field. (A) A genomic region near the top-scoring SNP at Chr3-4579292 desplays the position of candidate genes. Red colors highlight genes within 5 kbp from the focal SNP.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ng" id="50" name="Picture"/>
                    <pic:cNvPicPr>
                      <a:picLocks noChangeArrowheads="1" noChangeAspect="1"/>
                    </pic:cNvPicPr>
                  </pic:nvPicPr>
                  <pic:blipFill>
                    <a:blip r:embed="rId48"/>
                    <a:stretch>
                      <a:fillRect/>
                    </a:stretch>
                  </pic:blipFill>
                  <pic:spPr bwMode="auto">
                    <a:xfrm>
                      <a:off x="0" y="0"/>
                      <a:ext cx="5334000" cy="4327106"/>
                    </a:xfrm>
                    <a:prstGeom prst="rect">
                      <a:avLst/>
                    </a:prstGeom>
                    <a:noFill/>
                    <a:ln w="9525">
                      <a:noFill/>
                      <a:headEnd/>
                      <a:tailEnd/>
                    </a:ln>
                  </pic:spPr>
                </pic:pic>
              </a:graphicData>
            </a:graphic>
          </wp:inline>
        </w:drawing>
      </w:r>
      <w:bookmarkEnd w:id="51"/>
    </w:p>
    <w:p>
      <w:pPr>
        <w:pStyle w:val="ImageCaption"/>
      </w:pPr>
      <w:r>
        <w:t xml:space="preserve">Figure 1. Genome-wide association study of the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rgraph (A), plant size (B), flowering time (C), and aphid abundance (D) of the Col-0 wild type (WT) and the ribosomal gene mutant (AT3G13882) of Arabidopsis thaliana under the laboratory condition. The flowering time and aphid abundance represents the number of days to flowering and log2(no. of aphids + 1), respectively. Asterisks indicate the statistical significance by generalized linear models;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photorgraph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the laboratory condition. The flowering time and aphid abundance represents the number of days to flowering and log</w:t>
      </w:r>
      <w:r>
        <w:rPr>
          <w:vertAlign w:val="subscript"/>
        </w:rPr>
        <w:t xml:space="preserve">2</w:t>
      </w:r>
      <w:r>
        <w:t xml:space="preserve">(no. of aphids + 1), respectively. Asterisks indicate the statistical significance by generalized linear models;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8" w:name="supplementary-materials"/>
    <w:p>
      <w:pPr>
        <w:pStyle w:val="Heading1"/>
      </w:pPr>
      <w:r>
        <w:t xml:space="preserve">Supplementary Materials</w:t>
      </w:r>
    </w:p>
    <w:p>
      <w:pPr>
        <w:pStyle w:val="CaptionedFigure"/>
      </w:pPr>
      <w:bookmarkStart w:id="60" w:name="fig:tDNA"/>
      <w:r>
        <w:drawing>
          <wp:inline>
            <wp:extent cx="5334000" cy="3727001"/>
            <wp:effectExtent b="0" l="0" r="0" t="0"/>
            <wp:docPr descr="Figure S1. Position of coding region and transfer-DNA (T-DNA) mutation on the putative ribosomal gene AT3G13882. Dark blue: gene position; green: coding DNA sequence (CDS); yellow: mRNA; light blue: mutant insertion; red: primers. The primer IDs shown by four digits correspond to those listed in Table S3. The primers were designed using T-DNA Primer Design (http://signal.salk.edu/tdnaprimers.2.html). To confirm the T-DNA insertion site of the line we used for the aphid experiment (i.e., SALK_039481), we extracted the DNA from leaves using the CTAB method. We then identified the T-DNA insertion site by polymerase chain reaction (PCR) amplification and Sanger sequencing (Microsynth, Switzerland)."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3727001"/>
                    </a:xfrm>
                    <a:prstGeom prst="rect">
                      <a:avLst/>
                    </a:prstGeom>
                    <a:noFill/>
                    <a:ln w="9525">
                      <a:noFill/>
                      <a:headEnd/>
                      <a:tailEnd/>
                    </a:ln>
                  </pic:spPr>
                </pic:pic>
              </a:graphicData>
            </a:graphic>
          </wp:inline>
        </w:drawing>
      </w:r>
      <w:bookmarkEnd w:id="60"/>
    </w:p>
    <w:p>
      <w:pPr>
        <w:pStyle w:val="ImageCaption"/>
      </w:pPr>
      <w:r>
        <w:t xml:space="preserve">Figure S1. Position of coding region and transfer-DNA (T-DNA) mutation on the putative ribosomal gene AT3G13882. Dark blue: gene position; green: coding DNA sequence (CDS); yellow: mRNA; light blue: mutant insertion; red: primers. The primer IDs shown by four digits correspond to those listed in Table S3. The primers were designed using T-DNA Primer Design (</w:t>
      </w:r>
      <w:hyperlink r:id="rId61">
        <w:r>
          <w:rPr>
            <w:rStyle w:val="Hyperlink"/>
          </w:rPr>
          <w:t xml:space="preserve">http://signal.salk.edu/tdnaprimers.2.html</w:t>
        </w:r>
      </w:hyperlink>
      <w:r>
        <w:t xml:space="preserve">). To confirm the T-DNA insertion site of the line we used for the aphid experiment (i.e., SALK_039481), we extracted the DNA from leaves using the CTAB method. We then identified the T-DNA insertion site by polymerase chain reaction (PCR) amplification and Sanger sequencing (Microsynth, Switzerland).</w:t>
      </w:r>
    </w:p>
    <w:p>
      <w:pPr>
        <w:pStyle w:val="CaptionedFigure"/>
      </w:pPr>
      <w:bookmarkStart w:id="65" w:name="fig:sqRT_PCR"/>
      <w:r>
        <w:drawing>
          <wp:inline>
            <wp:extent cx="3132306" cy="2623688"/>
            <wp:effectExtent b="0" l="0" r="0" t="0"/>
            <wp:docPr descr="Figure S2. Semi-quantitative reverse transcription and polymerase chain reaction (sqRT-PCR) of the mutant line we used for the aphid experiment. To perform sqRT-PCR, we extracted the RNA from leaves using RNeasy kit (Qiagen) and purified the RNA with DNA-free kit (Ambion). RNA concentration was measured by Qubit spectrophotometer (Invitrogen). Then we obtained the cDNA using High-Capacity RNA-to-cDNA kit (TaqMan). After 35 cycles of PCR, the gene expression was check on 2% gel as shown in this supplementary figure. Two primer sets were used (see Table S4 for the primer information). The expected length of amplified fragment was 438 bp (primer pair A) and 436 bp (primer pair B). This figure shows that the gene expression of AT3G13882 is suppressed in the mutant line SALK_039481." title="" id="63" name="Picture"/>
            <a:graphic>
              <a:graphicData uri="http://schemas.openxmlformats.org/drawingml/2006/picture">
                <pic:pic>
                  <pic:nvPicPr>
                    <pic:cNvPr descr="../figures/FigS5.png" id="64" name="Picture"/>
                    <pic:cNvPicPr>
                      <a:picLocks noChangeArrowheads="1" noChangeAspect="1"/>
                    </pic:cNvPicPr>
                  </pic:nvPicPr>
                  <pic:blipFill>
                    <a:blip r:embed="rId62"/>
                    <a:stretch>
                      <a:fillRect/>
                    </a:stretch>
                  </pic:blipFill>
                  <pic:spPr bwMode="auto">
                    <a:xfrm>
                      <a:off x="0" y="0"/>
                      <a:ext cx="3132306" cy="2623688"/>
                    </a:xfrm>
                    <a:prstGeom prst="rect">
                      <a:avLst/>
                    </a:prstGeom>
                    <a:noFill/>
                    <a:ln w="9525">
                      <a:noFill/>
                      <a:headEnd/>
                      <a:tailEnd/>
                    </a:ln>
                  </pic:spPr>
                </pic:pic>
              </a:graphicData>
            </a:graphic>
          </wp:inline>
        </w:drawing>
      </w:r>
      <w:bookmarkEnd w:id="65"/>
    </w:p>
    <w:p>
      <w:pPr>
        <w:pStyle w:val="ImageCaption"/>
      </w:pPr>
      <w:r>
        <w:t xml:space="preserve">Figure S2. Semi-quantitative reverse transcription and polymerase chain reaction (sqRT-PCR) of the mutant line we used for the aphid experiment. To perform sqRT-PCR, we extracted the RNA from leaves using RNeasy kit (Qiagen) and purified the RNA with DNA-free kit (Ambion). RNA concentration was measured by Qubit spectrophotometer (Invitrogen). Then we obtained the cDNA using High-Capacity RNA-to-cDNA kit (TaqMan). After 35 cycles of PCR, the gene expression was check on 2% gel as shown in this supplementary figure. Two primer sets were used (see Table S4 for the primer information). The expected length of amplified fragment was 438 bp (primer pair A) and 436 bp (primer pair B). This figure shows that the gene expression of AT3G13882 is suppressed in the mutant line SALK_039481.</w:t>
      </w:r>
    </w:p>
    <w:p>
      <w:pPr>
        <w:pStyle w:val="CaptionedFigure"/>
      </w:pPr>
      <w:bookmarkStart w:id="69" w:name="fig:aphid_last"/>
      <w:r>
        <w:drawing>
          <wp:inline>
            <wp:extent cx="5334000" cy="2667000"/>
            <wp:effectExtent b="0" l="0" r="0" t="0"/>
            <wp:docPr descr="Figure S3. The aphid abundance during the later period of incubation. The aphid abundance is defined by log2(no. of aphids + 1). Asterisks indicate the statistical significance by generalized linear models; **p&lt;0.001, p&lt;0.05. Boxes: median with upper and lower quartile; Whiskers: 1.5 \times inter-quartile range. The patterns remained almost the same as the main Figure 2D. The levels of statistical significance became larger near the end of experiment due to severe over-dispersion. We thus provided results at the initial time point in the main text." title="" id="67" name="Picture"/>
            <a:graphic>
              <a:graphicData uri="http://schemas.openxmlformats.org/drawingml/2006/picture">
                <pic:pic>
                  <pic:nvPicPr>
                    <pic:cNvPr descr="../figures/aphid_last.pdf"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bookmarkEnd w:id="69"/>
    </w:p>
    <w:p>
      <w:pPr>
        <w:pStyle w:val="ImageCaption"/>
      </w:pPr>
      <w:r>
        <w:t xml:space="preserve">Figure S3. The aphid abundance during the later period of incubation. The aphid abundance is defined by log</w:t>
      </w:r>
      <w:r>
        <w:rPr>
          <w:vertAlign w:val="subscript"/>
        </w:rPr>
        <w:t xml:space="preserve">2</w:t>
      </w:r>
      <w:r>
        <w:t xml:space="preserve">(no. of aphids + 1). Asterisks indicate the statistical significance by generalized linear models; **</w:t>
      </w:r>
      <m:oMath>
        <m:r>
          <m:t>p</m:t>
        </m:r>
        <m:r>
          <m:rPr>
            <m:sty m:val="p"/>
          </m:rPr>
          <m:t>&lt;</m:t>
        </m:r>
        <m:r>
          <m:t>0.001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the main Figure</w:t>
      </w:r>
      <w:r>
        <w:t xml:space="preserve"> </w:t>
      </w:r>
      <w:hyperlink w:anchor="fig:mutant">
        <w:r>
          <w:rPr>
            <w:rStyle w:val="Hyperlink"/>
          </w:rPr>
          <w:t xml:space="preserve">2</w:t>
        </w:r>
      </w:hyperlink>
      <w:r>
        <w:t xml:space="preserve">D. The levels of statistical significance became larger near the end of experiment due to severe over-dispersion. We thus provided results at the initial time point in the main text.</w:t>
      </w:r>
    </w:p>
    <w:p>
      <w:pPr>
        <w:pStyle w:val="CaptionedFigure"/>
      </w:pPr>
      <w:bookmarkStart w:id="73" w:name="fig:aphid_day"/>
      <w:r>
        <w:drawing>
          <wp:inline>
            <wp:extent cx="5334000" cy="3619149"/>
            <wp:effectExtent b="0" l="0" r="0" t="0"/>
            <wp:docPr descr="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71" name="Picture"/>
            <a:graphic>
              <a:graphicData uri="http://schemas.openxmlformats.org/drawingml/2006/picture">
                <pic:pic>
                  <pic:nvPicPr>
                    <pic:cNvPr descr="../figures/aphid_No_per_day.png" id="72" name="Picture"/>
                    <pic:cNvPicPr>
                      <a:picLocks noChangeArrowheads="1" noChangeAspect="1"/>
                    </pic:cNvPicPr>
                  </pic:nvPicPr>
                  <pic:blipFill>
                    <a:blip r:embed="rId70"/>
                    <a:stretch>
                      <a:fillRect/>
                    </a:stretch>
                  </pic:blipFill>
                  <pic:spPr bwMode="auto">
                    <a:xfrm>
                      <a:off x="0" y="0"/>
                      <a:ext cx="5334000" cy="3619149"/>
                    </a:xfrm>
                    <a:prstGeom prst="rect">
                      <a:avLst/>
                    </a:prstGeom>
                    <a:noFill/>
                    <a:ln w="9525">
                      <a:noFill/>
                      <a:headEnd/>
                      <a:tailEnd/>
                    </a:ln>
                  </pic:spPr>
                </pic:pic>
              </a:graphicData>
            </a:graphic>
          </wp:inline>
        </w:drawing>
      </w:r>
      <w:bookmarkEnd w:id="73"/>
    </w:p>
    <w:p>
      <w:pPr>
        <w:pStyle w:val="ImageCaption"/>
      </w:pPr>
      <w:r>
        <w:t xml:space="preserve">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7" w:name="fig:qqplot"/>
      <w:r>
        <w:drawing>
          <wp:inline>
            <wp:extent cx="5334000" cy="5334000"/>
            <wp:effectExtent b="0" l="0" r="0" t="0"/>
            <wp:docPr descr="Figure S5.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5" name="Picture"/>
            <a:graphic>
              <a:graphicData uri="http://schemas.openxmlformats.org/drawingml/2006/picture">
                <pic:pic>
                  <pic:nvPicPr>
                    <pic:cNvPr descr="../figures/log_BbLe_max_QQ.png" id="76"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bookmarkEnd w:id="77"/>
    </w:p>
    <w:p>
      <w:pPr>
        <w:pStyle w:val="ImageCaption"/>
      </w:pPr>
      <w:r>
        <w:t xml:space="preserve">Figure S5.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information for sqRT-PCR.</w:t>
      </w:r>
    </w:p>
    <w:bookmarkEnd w:id="78"/>
    <w:bookmarkStart w:id="120" w:name="references"/>
    <w:p>
      <w:pPr>
        <w:pStyle w:val="Heading1"/>
      </w:pPr>
      <w:r>
        <w:t xml:space="preserve">References</w:t>
      </w:r>
    </w:p>
    <w:bookmarkStart w:id="119" w:name="refs"/>
    <w:bookmarkStart w:id="79"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79"/>
    <w:bookmarkStart w:id="80"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0"/>
    <w:bookmarkStart w:id="81"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1"/>
    <w:bookmarkStart w:id="82"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2"/>
    <w:bookmarkStart w:id="83"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3"/>
    <w:bookmarkStart w:id="85"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4">
        <w:r>
          <w:rPr>
            <w:rStyle w:val="Hyperlink"/>
          </w:rPr>
          <w:t xml:space="preserve">10.1007/978-1-4684-2646-5_1</w:t>
        </w:r>
      </w:hyperlink>
      <w:r>
        <w:t xml:space="preserve">)</w:t>
      </w:r>
    </w:p>
    <w:bookmarkEnd w:id="85"/>
    <w:bookmarkStart w:id="86"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6"/>
    <w:bookmarkStart w:id="87"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7"/>
    <w:bookmarkStart w:id="88"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8"/>
    <w:bookmarkStart w:id="89"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9"/>
    <w:bookmarkStart w:id="90" w:name="ref-anderson2011ecological"/>
    <w:p>
      <w:pPr>
        <w:pStyle w:val="Bibliography"/>
      </w:pPr>
      <w:r>
        <w:t xml:space="preserve">11.</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90"/>
    <w:bookmarkStart w:id="91" w:name="ref-santure2018wild"/>
    <w:p>
      <w:pPr>
        <w:pStyle w:val="Bibliography"/>
      </w:pPr>
      <w:r>
        <w:t xml:space="preserve">12.</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fujii2019stigmatic"/>
    <w:p>
      <w:pPr>
        <w:pStyle w:val="Bibliography"/>
      </w:pPr>
      <w:r>
        <w:t xml:space="preserve">13.</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2"/>
    <w:bookmarkStart w:id="93" w:name="ref-tsuchimatsu2020adaptive"/>
    <w:p>
      <w:pPr>
        <w:pStyle w:val="Bibliography"/>
      </w:pPr>
      <w:r>
        <w:t xml:space="preserve">14.</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3"/>
    <w:bookmarkStart w:id="94" w:name="ref-honjo2020seasonality"/>
    <w:p>
      <w:pPr>
        <w:pStyle w:val="Bibliography"/>
      </w:pPr>
      <w:r>
        <w:t xml:space="preserve">15.</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4"/>
    <w:bookmarkStart w:id="95" w:name="ref-sato2019transcriptional"/>
    <w:p>
      <w:pPr>
        <w:pStyle w:val="Bibliography"/>
      </w:pPr>
      <w:r>
        <w:t xml:space="preserve">16.</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5"/>
    <w:bookmarkStart w:id="96" w:name="ref-shimizu2011plant"/>
    <w:p>
      <w:pPr>
        <w:pStyle w:val="Bibliography"/>
      </w:pPr>
      <w:r>
        <w:t xml:space="preserve">17.</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6"/>
    <w:bookmarkStart w:id="97" w:name="ref-kudoh2016molecular"/>
    <w:p>
      <w:pPr>
        <w:pStyle w:val="Bibliography"/>
      </w:pPr>
      <w:r>
        <w:t xml:space="preserve">18.</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7"/>
    <w:bookmarkStart w:id="98" w:name="ref-yamasaki2017genomics"/>
    <w:p>
      <w:pPr>
        <w:pStyle w:val="Bibliography"/>
      </w:pPr>
      <w:r>
        <w:t xml:space="preserve">19.</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8"/>
    <w:bookmarkStart w:id="100" w:name="ref-stockenhuber2021uv"/>
    <w:p>
      <w:pPr>
        <w:pStyle w:val="Bibliography"/>
      </w:pPr>
      <w:r>
        <w:t xml:space="preserve">20.</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9">
        <w:r>
          <w:rPr>
            <w:rStyle w:val="Hyperlink"/>
          </w:rPr>
          <w:t xml:space="preserve">10.1101/2021.12.08.471623</w:t>
        </w:r>
      </w:hyperlink>
      <w:r>
        <w:t xml:space="preserve">)</w:t>
      </w:r>
    </w:p>
    <w:bookmarkEnd w:id="100"/>
    <w:bookmarkStart w:id="101" w:name="ref-thompson1994spatiotemporal"/>
    <w:p>
      <w:pPr>
        <w:pStyle w:val="Bibliography"/>
      </w:pPr>
      <w:r>
        <w:t xml:space="preserve">21.</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1"/>
    <w:bookmarkStart w:id="102" w:name="ref-taylor2017interacting"/>
    <w:p>
      <w:pPr>
        <w:pStyle w:val="Bibliography"/>
      </w:pPr>
      <w:r>
        <w:t xml:space="preserve">22.</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2"/>
    <w:bookmarkStart w:id="103" w:name="ref-mosleh2009herbivory"/>
    <w:p>
      <w:pPr>
        <w:pStyle w:val="Bibliography"/>
      </w:pPr>
      <w:r>
        <w:t xml:space="preserve">23.</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3"/>
    <w:bookmarkStart w:id="104" w:name="ref-zust2012natural"/>
    <w:p>
      <w:pPr>
        <w:pStyle w:val="Bibliography"/>
      </w:pPr>
      <w:r>
        <w:t xml:space="preserve">24.</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4"/>
    <w:bookmarkStart w:id="105" w:name="ref-sato2021neighbor"/>
    <w:p>
      <w:pPr>
        <w:pStyle w:val="Bibliography"/>
      </w:pPr>
      <w:r>
        <w:t xml:space="preserve">25.</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5"/>
    <w:bookmarkStart w:id="106"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6"/>
    <w:bookmarkStart w:id="107"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7"/>
    <w:bookmarkStart w:id="108" w:name="ref-seren2018gwa"/>
    <w:p>
      <w:pPr>
        <w:pStyle w:val="Bibliography"/>
      </w:pPr>
      <w:r>
        <w:t xml:space="preserve">28.</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8"/>
    <w:bookmarkStart w:id="109" w:name="ref-klepikova2016high"/>
    <w:p>
      <w:pPr>
        <w:pStyle w:val="Bibliography"/>
      </w:pPr>
      <w:r>
        <w:t xml:space="preserve">29.</w:t>
      </w:r>
      <w:r>
        <w:t xml:space="preserve"> </w:t>
      </w:r>
      <w:r>
        <w:t xml:space="preserve">	</w:t>
      </w:r>
      <w:r>
        <w:t xml:space="preserve">Klepikova AV, Kasianov AS, Gerasimov ES, Logacheva MD, Penin AA. 2016 A high resolution map of the arabidopsis thaliana 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9"/>
    <w:bookmarkStart w:id="110"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0"/>
    <w:bookmarkStart w:id="111" w:name="ref-barbour2022keystone"/>
    <w:p>
      <w:pPr>
        <w:pStyle w:val="Bibliography"/>
      </w:pPr>
      <w:r>
        <w:t xml:space="preserve">31.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1"/>
    <w:bookmarkStart w:id="113"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2">
        <w:r>
          <w:rPr>
            <w:rStyle w:val="Hyperlink"/>
          </w:rPr>
          <w:t xml:space="preserve">https://www.R-project.org/</w:t>
        </w:r>
      </w:hyperlink>
      <w:r>
        <w:t xml:space="preserve">.</w:t>
      </w:r>
    </w:p>
    <w:bookmarkEnd w:id="113"/>
    <w:bookmarkStart w:id="114" w:name="ref-kessler2004silencing"/>
    <w:p>
      <w:pPr>
        <w:pStyle w:val="Bibliography"/>
      </w:pPr>
      <w:r>
        <w:t xml:space="preserve">33.</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4"/>
    <w:bookmarkStart w:id="115" w:name="ref-schuman2015plant"/>
    <w:p>
      <w:pPr>
        <w:pStyle w:val="Bibliography"/>
      </w:pPr>
      <w:r>
        <w:t xml:space="preserve">34.</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5"/>
    <w:bookmarkStart w:id="116" w:name="ref-fujikura2009coordination"/>
    <w:p>
      <w:pPr>
        <w:pStyle w:val="Bibliography"/>
      </w:pPr>
      <w:r>
        <w:t xml:space="preserve">35.</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6"/>
    <w:bookmarkStart w:id="117" w:name="ref-creff2010two"/>
    <w:p>
      <w:pPr>
        <w:pStyle w:val="Bibliography"/>
      </w:pPr>
      <w:r>
        <w:t xml:space="preserve">36.</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7"/>
    <w:bookmarkStart w:id="118" w:name="ref-kakui2022pollen"/>
    <w:p>
      <w:pPr>
        <w:pStyle w:val="Bibliography"/>
      </w:pPr>
      <w:r>
        <w:t xml:space="preserve">37.</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8"/>
    <w:bookmarkEnd w:id="119"/>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2" Target="media/rId62.png" /><Relationship Type="http://schemas.openxmlformats.org/officeDocument/2006/relationships/image" Id="rId70" Target="media/rId70.png" /><Relationship Type="http://schemas.openxmlformats.org/officeDocument/2006/relationships/image" Id="rId66" Target="media/rId66.pdf" /><Relationship Type="http://schemas.openxmlformats.org/officeDocument/2006/relationships/image" Id="rId48" Target="media/rId48.png" /><Relationship Type="http://schemas.openxmlformats.org/officeDocument/2006/relationships/image" Id="rId74" Target="media/rId74.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61"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4"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61"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4"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2022-10-15T20:10:16Z</dcterms:created>
  <dcterms:modified xsi:type="dcterms:W3CDTF">2022-10-15T20:10:16Z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